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highlight w:val="yellow"/>
        </w:rPr>
        <w:t>[Business name]</w:t>
      </w:r>
      <w:r>
        <w:rPr>
          <w:b w:val="0"/>
        </w:rPr>
        <w:t xml:space="preserve"> AI supplier due-diligence checklist: </w:t>
      </w:r>
      <w:r>
        <w:rPr>
          <w:b w:val="0"/>
          <w:highlight w:val="yellow"/>
        </w:rPr>
        <w:t>[supplier and product]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EF3FB"/>
          </w:tcPr>
          <w:p>
            <w:r>
              <w:rPr>
                <w:b/>
              </w:rPr>
              <w:t>How to use this template</w:t>
            </w:r>
          </w:p>
          <w:p>
            <w:pPr>
              <w:pStyle w:val="ListBullet"/>
            </w:pPr>
            <w:r>
              <w:rPr>
                <w:b w:val="0"/>
              </w:rPr>
              <w:t>Complete one checklist per AI product and plan, before any personal data goes in, and again at renewal.</w:t>
            </w:r>
          </w:p>
          <w:p>
            <w:pPr>
              <w:pStyle w:val="ListBullet"/>
            </w:pPr>
            <w:r>
              <w:rPr>
                <w:b w:val="0"/>
              </w:rPr>
              <w:t>Answer each question with evidence: a link or a clause number from the supplier's terms.</w:t>
            </w:r>
          </w:p>
          <w:p>
            <w:pPr>
              <w:pStyle w:val="ListBullet"/>
            </w:pPr>
            <w:r>
              <w:rPr>
                <w:b w:val="0"/>
              </w:rPr>
              <w:t>If the tool will touch personal data, any "no" in sections A, B or C means do not connect that data until it is fixed.</w:t>
            </w:r>
          </w:p>
          <w:p>
            <w:pPr>
              <w:pStyle w:val="ListBullet"/>
            </w:pPr>
            <w:r>
              <w:rPr>
                <w:b w:val="0"/>
              </w:rPr>
              <w:t>Keep the completed checklist with your DPIA.</w:t>
            </w:r>
          </w:p>
          <w:p>
            <w:r>
              <w:rPr>
                <w:b/>
              </w:rPr>
              <w:t>This is general guidance, not legal advice. Adapt it to your business, and ask a data protection professional about any decision that matters.</w:t>
            </w:r>
          </w:p>
          <w:p>
            <w:r>
              <w:rPr>
                <w:b w:val="0"/>
              </w:rPr>
              <w:t xml:space="preserve">Delete this box before you use the document. Fields to fill in are in </w:t>
            </w:r>
            <w:r>
              <w:rPr>
                <w:b w:val="0"/>
                <w:highlight w:val="yellow"/>
              </w:rPr>
              <w:t>[square brackets]</w:t>
            </w:r>
            <w:r>
              <w:rPr>
                <w:b w:val="0"/>
              </w:rPr>
              <w:t>.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Supplier and product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Plan we will use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What we will use it for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Personal data involved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[None / contact data / customer records / special category data]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Checked by, date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Documents checked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[Data processing agreement, privacy policy, security page, sub-processor list, with links]</w:t>
            </w:r>
          </w:p>
        </w:tc>
      </w:tr>
    </w:tbl>
    <w:p/>
    <w:p>
      <w:pPr>
        <w:pStyle w:val="Heading1"/>
      </w:pPr>
      <w:r>
        <w:rPr>
          <w:b w:val="0"/>
        </w:rPr>
        <w:t>A. Contract and roles (UK GDPR Article 28)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Is there a data processing agreement (DPA) on the plan we will buy?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on our plan, not only on enterprise plans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Does it say we are the controller and the supplier is our processor?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Clear roles. On personal plans the supplier is usually a controller under its own privacy policy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Does it set out the subject matter, duration, nature and purpose, types of data and categories of people?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All listed (Article 28(3))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A4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Does the supplier act only on our documented instructions, including on transfers abroad?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 (Article 28(3)(a))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A5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Are its staff bound by confidentiality?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 (Article 28(3)(b))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A6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Does it commit to appropriate security under Article 32?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 (Article 28(3)(c))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A7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Will it help with rights requests, security, breaches and DPIAs?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 (Article 28(3)(e) and (f))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A8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Will it delete or return all our data at the end, at our choice?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 (Article 28(3)(g))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A9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Will it give us the information to show compliance, and allow audits?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for example audit reports on request (Article 28(3)(h))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B. Data location and transfers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B1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Where is our data stored at rest?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Named countries; a UK option if offered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B2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Where is it processed, meaning where the model runs?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Named countries. UK storage does not always mean UK processing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B3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If outside the UK, what covers the transfer?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UK adequacy regulations; or the UK Extension to the EU-US Data Privacy Framework, with the supplier active on the list; or the IDTA or the UK Addendum to the EU standard clauses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B4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Have we recorded a transfer risk assessment where one is needed?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kept with this checklist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C. Training on our data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C1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Does the supplier train models on our prompts, files or outputs?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No by default, stated in the contract and not only in a settings page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C2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Are there exceptions, such as safety review, feedback or human review?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Listed and acceptable to us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C3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Can an admin switch training off for every user?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centrally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D. Retention and deletion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D1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How long are prompts, outputs, files and logs kept?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A stated period we can accept; a short or zero retention option if offered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D2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Can we delete one person's data, including agent memory?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D3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What happens to our data after we cancel?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Deleted within a stated period, with confirmation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E. Sub-processors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E1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Is there a published sub-processor list?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with what each does and where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E2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Will we be told before sub-processors are added or replaced, with a chance to object?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 (Article 28(2))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E3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Are sub-processors bound by the same data protection terms?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 (Article 28(4))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F. Security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F1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Which independent security certifications does it hold?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For example ISO/IEC 27001, a SOC 2 Type II report, or Cyber Essentials; ask for the certificate or report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F2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Single sign-on and multi-factor authentication?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F3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Encryption in transit and at rest?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F4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How fast will it tell us about a breach?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Without undue delay, in time for us to report to the ICO within 72 hours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F5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Admin controls and audit logs?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An admin console and exportable logs of user and agent actions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G. AI agent controls (if the product can take actions)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G1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Can we limit which systems and data it reaches, separately for read and write?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scoped permissions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G2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Can we require human approval before chosen actions?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and we choose which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G3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Does it log every action and tool call, and can we export the log?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G4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What does it do about prompt injection?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Documented safeguards that limit what the agent can do, not only filters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G5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Can we switch it off at once?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from the admin console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H. Exit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3175"/>
        <w:gridCol w:w="2835"/>
        <w:gridCol w:w="2438"/>
        <w:gridCol w:w="567"/>
      </w:tblGrid>
      <w:tr>
        <w:trPr>
          <w:tblHeader w:val="true"/>
        </w:trP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3175"/>
            <w:shd w:val="clear" w:color="auto" w:fill="DCE6F5"/>
          </w:tcPr>
          <w:p>
            <w:r/>
            <w:r>
              <w:rPr>
                <w:b/>
                <w:sz w:val="20"/>
              </w:rPr>
              <w:t>Check</w:t>
            </w:r>
          </w:p>
        </w:tc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0"/>
              </w:rPr>
              <w:t>What good looks like</w:t>
            </w:r>
          </w:p>
        </w:tc>
        <w:tc>
          <w:tcPr>
            <w:tcW w:type="dxa" w:w="2438"/>
            <w:shd w:val="clear" w:color="auto" w:fill="DCE6F5"/>
          </w:tcPr>
          <w:p>
            <w:r/>
            <w:r>
              <w:rPr>
                <w:b/>
                <w:sz w:val="20"/>
              </w:rPr>
              <w:t>Answer and evidence</w:t>
            </w:r>
          </w:p>
        </w:tc>
        <w:tc>
          <w:tcPr>
            <w:tcW w:type="dxa" w:w="567"/>
            <w:shd w:val="clear" w:color="auto" w:fill="DCE6F5"/>
          </w:tcPr>
          <w:p>
            <w:r/>
            <w:r>
              <w:rPr>
                <w:b/>
                <w:sz w:val="20"/>
              </w:rPr>
              <w:t>OK?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H1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Can we export our data in a usable format?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in standard formats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H2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What notice period applies, and can prices or terms change mid-contract?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Clear and acceptable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0"/>
              </w:rPr>
              <w:t>H3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20"/>
              </w:rPr>
              <w:t>Will it confirm deletion in writing when we leave?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Yes, on request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  <w:tc>
          <w:tcPr>
            <w:tcW w:type="dxa" w:w="567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b w:val="0"/>
        </w:rPr>
        <w:t>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Decision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[Approved / Approved with conditions / Rejected]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Conditions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[e.g. business plan only; no special category data; training off]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Approved by, date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 ]</w:t>
            </w:r>
          </w:p>
        </w:tc>
      </w:tr>
      <w:tr>
        <w:tc>
          <w:tcPr>
            <w:tcW w:type="dxa" w:w="3402"/>
            <w:shd w:val="clear" w:color="auto" w:fill="F2F5FA"/>
          </w:tcPr>
          <w:p>
            <w:r/>
            <w:r>
              <w:rPr>
                <w:b/>
                <w:sz w:val="20"/>
              </w:rPr>
              <w:t>Review on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20"/>
                <w:highlight w:val="yellow"/>
              </w:rPr>
              <w:t>[Renewal date, or sooner if the supplier changes its terms or sub-processors]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775"/>
        <w:sz w:val="16"/>
      </w:rPr>
      <w:t>Free template from aiagents.org.uk (https://aiagents.org.uk/ai-policy-dpia-templates-uk/), version of 25 October 2026. General guidance,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44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244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supplier due-diligence checklist for UK small businesses</dc:title>
  <dc:subject>Free template for UK small businesses, version of 25 October 2026</dc:subject>
  <dc:creator>Annie, aiagents.org.uk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